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59"/>
        <w:jc w:val="center"/>
        <w:textAlignment w:val="auto"/>
        <w:rPr>
          <w:rFonts w:hint="eastAsia" w:asciiTheme="majorEastAsia" w:hAnsiTheme="majorEastAsia" w:eastAsiaTheme="majorEastAsia" w:cstheme="majorEastAsia"/>
          <w:i w:val="0"/>
          <w:caps w:val="0"/>
          <w:color w:val="000000"/>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59"/>
        <w:jc w:val="center"/>
        <w:textAlignment w:val="auto"/>
        <w:rPr>
          <w:rFonts w:hint="eastAsia" w:asciiTheme="majorEastAsia" w:hAnsiTheme="majorEastAsia" w:eastAsiaTheme="majorEastAsia" w:cstheme="majorEastAsia"/>
          <w:i w:val="0"/>
          <w:caps w:val="0"/>
          <w:color w:val="000000"/>
          <w:spacing w:val="0"/>
          <w:kern w:val="0"/>
          <w:sz w:val="44"/>
          <w:szCs w:val="44"/>
          <w:lang w:val="en-US" w:eastAsia="zh-CN" w:bidi="ar"/>
        </w:rPr>
      </w:pPr>
      <w:r>
        <w:rPr>
          <w:rFonts w:hint="eastAsia" w:asciiTheme="majorEastAsia" w:hAnsiTheme="majorEastAsia" w:eastAsiaTheme="majorEastAsia" w:cstheme="majorEastAsia"/>
          <w:i w:val="0"/>
          <w:caps w:val="0"/>
          <w:color w:val="000000"/>
          <w:spacing w:val="0"/>
          <w:kern w:val="0"/>
          <w:sz w:val="44"/>
          <w:szCs w:val="44"/>
          <w:lang w:val="en-US" w:eastAsia="zh-CN" w:bidi="ar"/>
        </w:rPr>
        <w:t>关于印发《阜新市文物保护区域评估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59"/>
        <w:jc w:val="center"/>
        <w:textAlignment w:val="auto"/>
        <w:rPr>
          <w:rFonts w:hint="eastAsia" w:asciiTheme="majorEastAsia" w:hAnsiTheme="majorEastAsia" w:eastAsiaTheme="majorEastAsia" w:cstheme="majorEastAsia"/>
          <w:i w:val="0"/>
          <w:caps w:val="0"/>
          <w:color w:val="000000"/>
          <w:spacing w:val="0"/>
          <w:kern w:val="0"/>
          <w:sz w:val="44"/>
          <w:szCs w:val="44"/>
          <w:lang w:val="en-US" w:eastAsia="zh-CN" w:bidi="ar"/>
        </w:rPr>
      </w:pPr>
      <w:r>
        <w:rPr>
          <w:rFonts w:hint="eastAsia" w:asciiTheme="majorEastAsia" w:hAnsiTheme="majorEastAsia" w:eastAsiaTheme="majorEastAsia" w:cstheme="majorEastAsia"/>
          <w:i w:val="0"/>
          <w:caps w:val="0"/>
          <w:color w:val="000000"/>
          <w:spacing w:val="0"/>
          <w:kern w:val="0"/>
          <w:sz w:val="44"/>
          <w:szCs w:val="44"/>
          <w:lang w:val="en-US" w:eastAsia="zh-CN" w:bidi="ar"/>
        </w:rPr>
        <w:t>工作规程》的通知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59"/>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p>
    <w:p>
      <w:pPr>
        <w:keepNext w:val="0"/>
        <w:keepLines w:val="0"/>
        <w:widowControl/>
        <w:suppressLineNumbers w:val="0"/>
        <w:spacing w:before="0" w:beforeAutospacing="0" w:after="0" w:afterAutospacing="0" w:line="580" w:lineRule="atLeast"/>
        <w:ind w:left="0" w:right="0" w:firstLine="156"/>
        <w:jc w:val="center"/>
        <w:rPr>
          <w:rFonts w:hint="eastAsia" w:ascii="仿宋_GB2312" w:hAnsi="仿宋_GB2312" w:eastAsia="仿宋_GB2312" w:cs="仿宋_GB2312"/>
          <w:i w:val="0"/>
          <w:caps w:val="0"/>
          <w:color w:val="000000"/>
          <w:spacing w:val="0"/>
          <w:sz w:val="32"/>
          <w:szCs w:val="32"/>
        </w:rPr>
      </w:pPr>
      <w:bookmarkStart w:id="0" w:name="_GoBack"/>
      <w:r>
        <w:rPr>
          <w:rFonts w:hint="eastAsia" w:ascii="仿宋_GB2312" w:hAnsi="仿宋_GB2312" w:eastAsia="仿宋_GB2312" w:cs="仿宋_GB2312"/>
          <w:i w:val="0"/>
          <w:caps w:val="0"/>
          <w:color w:val="000000"/>
          <w:spacing w:val="0"/>
          <w:kern w:val="0"/>
          <w:sz w:val="32"/>
          <w:szCs w:val="32"/>
          <w:lang w:val="en-US" w:eastAsia="zh-CN" w:bidi="ar"/>
        </w:rPr>
        <w:t>阜文旅广电发[2021]34号</w:t>
      </w:r>
    </w:p>
    <w:bookmarkEnd w:id="0"/>
    <w:p>
      <w:pPr>
        <w:keepNext w:val="0"/>
        <w:keepLines w:val="0"/>
        <w:widowControl/>
        <w:suppressLineNumbers w:val="0"/>
        <w:spacing w:before="0" w:beforeAutospacing="0" w:after="0" w:afterAutospacing="0"/>
        <w:ind w:left="0" w:right="0" w:firstLine="0"/>
        <w:jc w:val="both"/>
        <w:rPr>
          <w:rFonts w:ascii="仿宋" w:hAnsi="仿宋" w:eastAsia="仿宋" w:cs="仿宋"/>
          <w:i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各县区文物行政部门：</w:t>
      </w:r>
    </w:p>
    <w:p>
      <w:pPr>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　　现将《阜新市文物保护区域评估工作规程》印发给你们，请遵照执行。</w:t>
      </w:r>
    </w:p>
    <w:p>
      <w:pPr>
        <w:keepNext w:val="0"/>
        <w:keepLines w:val="0"/>
        <w:widowControl/>
        <w:suppressLineNumbers w:val="0"/>
        <w:spacing w:before="0" w:beforeAutospacing="0" w:after="0" w:afterAutospacing="0"/>
        <w:ind w:left="0" w:right="0" w:firstLine="0"/>
        <w:jc w:val="both"/>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righ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right"/>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560" w:lineRule="atLeast"/>
        <w:ind w:left="0" w:right="0" w:firstLine="0"/>
        <w:jc w:val="both"/>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560" w:lineRule="atLeast"/>
        <w:ind w:left="0" w:right="0" w:firstLine="0"/>
        <w:jc w:val="both"/>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ind w:left="0" w:right="0" w:firstLine="0"/>
        <w:jc w:val="right"/>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阜新市文化旅游和广播电视局</w:t>
      </w:r>
    </w:p>
    <w:p>
      <w:pPr>
        <w:keepNext w:val="0"/>
        <w:keepLines w:val="0"/>
        <w:widowControl/>
        <w:suppressLineNumbers w:val="0"/>
        <w:spacing w:before="0" w:beforeAutospacing="0" w:after="0" w:afterAutospacing="0"/>
        <w:ind w:left="0" w:right="0" w:firstLine="0"/>
        <w:jc w:val="righ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　　　　　　　　　　2021年9月14日</w:t>
      </w:r>
    </w:p>
    <w:p>
      <w:pPr>
        <w:keepNext w:val="0"/>
        <w:keepLines w:val="0"/>
        <w:widowControl/>
        <w:suppressLineNumbers w:val="0"/>
        <w:spacing w:before="0" w:beforeAutospacing="0" w:after="0" w:afterAutospacing="0" w:line="580" w:lineRule="atLeast"/>
        <w:ind w:left="0" w:right="0" w:firstLine="0"/>
        <w:jc w:val="both"/>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480" w:lineRule="atLeast"/>
        <w:ind w:left="0" w:right="0" w:firstLine="0"/>
        <w:jc w:val="both"/>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（此件公开发布）</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caps w:val="0"/>
          <w:color w:val="000000"/>
          <w:spacing w:val="0"/>
          <w:kern w:val="0"/>
          <w:sz w:val="44"/>
          <w:szCs w:val="44"/>
          <w:lang w:val="en-US" w:eastAsia="zh-CN" w:bidi="ar"/>
        </w:rPr>
      </w:pP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caps w:val="0"/>
          <w:color w:val="000000"/>
          <w:spacing w:val="0"/>
          <w:kern w:val="0"/>
          <w:sz w:val="44"/>
          <w:szCs w:val="44"/>
          <w:lang w:val="en-US" w:eastAsia="zh-CN" w:bidi="ar"/>
        </w:rPr>
      </w:pPr>
    </w:p>
    <w:p>
      <w:pPr>
        <w:keepNext w:val="0"/>
        <w:keepLines w:val="0"/>
        <w:widowControl/>
        <w:suppressLineNumbers w:val="0"/>
        <w:spacing w:before="0" w:beforeAutospacing="0" w:after="0" w:afterAutospacing="0" w:line="580" w:lineRule="atLeast"/>
        <w:ind w:left="0" w:right="0" w:firstLine="0"/>
        <w:jc w:val="center"/>
        <w:rPr>
          <w:rFonts w:hint="eastAsia" w:ascii="宋体" w:hAnsi="宋体" w:eastAsia="宋体" w:cs="宋体"/>
          <w:i w:val="0"/>
          <w:caps w:val="0"/>
          <w:color w:val="000000"/>
          <w:spacing w:val="0"/>
          <w:kern w:val="0"/>
          <w:sz w:val="44"/>
          <w:szCs w:val="44"/>
          <w:lang w:val="en-US" w:eastAsia="zh-CN" w:bidi="ar"/>
        </w:rPr>
      </w:pPr>
    </w:p>
    <w:p>
      <w:pPr>
        <w:keepNext w:val="0"/>
        <w:keepLines w:val="0"/>
        <w:widowControl/>
        <w:suppressLineNumbers w:val="0"/>
        <w:spacing w:before="0" w:beforeAutospacing="0" w:after="0" w:afterAutospacing="0" w:line="580" w:lineRule="atLeast"/>
        <w:ind w:left="0" w:right="0" w:firstLine="0"/>
        <w:jc w:val="center"/>
        <w:rPr>
          <w:rFonts w:hint="eastAsia" w:ascii="宋体" w:hAnsi="宋体" w:eastAsia="宋体" w:cs="宋体"/>
          <w:i w:val="0"/>
          <w:caps w:val="0"/>
          <w:color w:val="000000"/>
          <w:spacing w:val="0"/>
          <w:kern w:val="0"/>
          <w:sz w:val="44"/>
          <w:szCs w:val="44"/>
          <w:lang w:val="en-US" w:eastAsia="zh-CN" w:bidi="ar"/>
        </w:rPr>
      </w:pPr>
    </w:p>
    <w:p>
      <w:pPr>
        <w:keepNext w:val="0"/>
        <w:keepLines w:val="0"/>
        <w:widowControl/>
        <w:suppressLineNumbers w:val="0"/>
        <w:spacing w:before="0" w:beforeAutospacing="0" w:after="0" w:afterAutospacing="0" w:line="580" w:lineRule="atLeast"/>
        <w:ind w:left="0" w:right="0" w:firstLine="0"/>
        <w:jc w:val="center"/>
        <w:rPr>
          <w:rFonts w:hint="eastAsia" w:ascii="宋体" w:hAnsi="宋体" w:eastAsia="宋体" w:cs="宋体"/>
          <w:i w:val="0"/>
          <w:caps w:val="0"/>
          <w:color w:val="000000"/>
          <w:spacing w:val="0"/>
          <w:kern w:val="0"/>
          <w:sz w:val="44"/>
          <w:szCs w:val="44"/>
          <w:lang w:val="en-US" w:eastAsia="zh-CN" w:bidi="ar"/>
        </w:rPr>
      </w:pPr>
      <w:r>
        <w:rPr>
          <w:rFonts w:hint="eastAsia" w:ascii="宋体" w:hAnsi="宋体" w:eastAsia="宋体" w:cs="宋体"/>
          <w:i w:val="0"/>
          <w:caps w:val="0"/>
          <w:color w:val="000000"/>
          <w:spacing w:val="0"/>
          <w:kern w:val="0"/>
          <w:sz w:val="44"/>
          <w:szCs w:val="44"/>
          <w:lang w:val="en-US" w:eastAsia="zh-CN" w:bidi="ar"/>
        </w:rPr>
        <w:t>阜新市文物保护区域评估工作规程</w:t>
      </w:r>
    </w:p>
    <w:p>
      <w:pPr>
        <w:keepNext w:val="0"/>
        <w:keepLines w:val="0"/>
        <w:widowControl/>
        <w:suppressLineNumbers w:val="0"/>
        <w:spacing w:before="0" w:beforeAutospacing="0" w:after="0" w:afterAutospacing="0" w:line="580" w:lineRule="atLeast"/>
        <w:ind w:left="0" w:right="0" w:firstLine="0"/>
        <w:jc w:val="both"/>
        <w:rPr>
          <w:rFonts w:hint="eastAsia" w:ascii="宋体" w:hAnsi="宋体" w:eastAsia="宋体" w:cs="宋体"/>
          <w:i w:val="0"/>
          <w:caps w:val="0"/>
          <w:color w:val="000000"/>
          <w:spacing w:val="0"/>
          <w:kern w:val="0"/>
          <w:sz w:val="44"/>
          <w:szCs w:val="44"/>
          <w:lang w:val="en-US" w:eastAsia="zh-CN" w:bidi="ar"/>
        </w:rPr>
      </w:pP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CESI黑体-GB2312" w:hAnsi="CESI黑体-GB2312" w:eastAsia="CESI黑体-GB2312" w:cs="CESI黑体-GB2312"/>
          <w:i w:val="0"/>
          <w:caps w:val="0"/>
          <w:color w:val="000000"/>
          <w:spacing w:val="0"/>
          <w:kern w:val="0"/>
          <w:sz w:val="32"/>
          <w:szCs w:val="32"/>
          <w:lang w:val="en-US" w:eastAsia="zh-CN" w:bidi="ar"/>
        </w:rPr>
        <w:t>　　</w:t>
      </w:r>
      <w:r>
        <w:rPr>
          <w:rFonts w:hint="eastAsia" w:ascii="黑体" w:hAnsi="黑体" w:eastAsia="黑体" w:cs="黑体"/>
          <w:i w:val="0"/>
          <w:caps w:val="0"/>
          <w:color w:val="000000"/>
          <w:spacing w:val="0"/>
          <w:kern w:val="0"/>
          <w:sz w:val="32"/>
          <w:szCs w:val="32"/>
          <w:lang w:val="en-US" w:eastAsia="zh-CN" w:bidi="ar"/>
        </w:rPr>
        <w:t>一、文物保护区域评估的适用条件</w:t>
      </w:r>
    </w:p>
    <w:p>
      <w:pPr>
        <w:keepNext w:val="0"/>
        <w:keepLines w:val="0"/>
        <w:widowControl/>
        <w:suppressLineNumbers w:val="0"/>
        <w:spacing w:before="0" w:beforeAutospacing="0" w:after="0" w:afterAutospacing="0"/>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　　</w:t>
      </w:r>
      <w:r>
        <w:rPr>
          <w:rFonts w:hint="eastAsia" w:ascii="仿宋_GB2312" w:hAnsi="仿宋_GB2312" w:eastAsia="仿宋_GB2312" w:cs="仿宋_GB2312"/>
          <w:i w:val="0"/>
          <w:caps w:val="0"/>
          <w:color w:val="000000"/>
          <w:spacing w:val="0"/>
          <w:kern w:val="0"/>
          <w:sz w:val="32"/>
          <w:szCs w:val="32"/>
          <w:lang w:val="en-US" w:eastAsia="zh-CN" w:bidi="ar"/>
        </w:rPr>
        <w:t>经国家、省批准设立的各类开发区，包括经济技术开发区、高新技术产业开发区、工业园区、能源化工基地等；由县级以上人民政府批准的土地性质及用途明确、规划手续完备、产业发展定位清晰、建设项目共性特点突出的其他特定区域，按照文物保护有关法律、法规和规章应当进行考古调查的，并针对有可能埋藏文物的地方、所涉各级文物保护单位的保护范围及建设控制地带、历史文化名城划定的保护地段和其他建设项目施工过程中已发现文物或已发现可能埋藏文物表征的区域进行考古勘探的，应当进行文物勘探区域评估。</w:t>
      </w:r>
    </w:p>
    <w:p>
      <w:pPr>
        <w:keepNext w:val="0"/>
        <w:keepLines w:val="0"/>
        <w:widowControl/>
        <w:suppressLineNumbers w:val="0"/>
        <w:spacing w:before="0" w:beforeAutospacing="0" w:after="0" w:afterAutospacing="0"/>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文物保护区域评估工作，应当在对整个区域或可能规划建设区域内进行文物调查和考古勘探，真实、准确廓清区域内地上地下文物遗存的基础上进行。</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CESI黑体-GB2312" w:hAnsi="CESI黑体-GB2312" w:eastAsia="CESI黑体-GB2312" w:cs="CESI黑体-GB2312"/>
          <w:i w:val="0"/>
          <w:caps w:val="0"/>
          <w:color w:val="000000"/>
          <w:spacing w:val="0"/>
          <w:kern w:val="0"/>
          <w:sz w:val="32"/>
          <w:szCs w:val="32"/>
          <w:lang w:val="en-US" w:eastAsia="zh-CN" w:bidi="ar"/>
        </w:rPr>
        <w:t>　　</w:t>
      </w:r>
      <w:r>
        <w:rPr>
          <w:rFonts w:hint="eastAsia" w:ascii="黑体" w:hAnsi="黑体" w:eastAsia="黑体" w:cs="黑体"/>
          <w:i w:val="0"/>
          <w:caps w:val="0"/>
          <w:color w:val="000000"/>
          <w:spacing w:val="0"/>
          <w:kern w:val="0"/>
          <w:sz w:val="32"/>
          <w:szCs w:val="32"/>
          <w:lang w:val="en-US" w:eastAsia="zh-CN" w:bidi="ar"/>
        </w:rPr>
        <w:t>二、文物保护区域评估工作依据及流程</w:t>
      </w:r>
    </w:p>
    <w:p>
      <w:pPr>
        <w:keepNext w:val="0"/>
        <w:keepLines w:val="0"/>
        <w:widowControl/>
        <w:suppressLineNumbers w:val="0"/>
        <w:spacing w:before="0" w:beforeAutospacing="0" w:after="0" w:afterAutospacing="0"/>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　　</w:t>
      </w:r>
      <w:r>
        <w:rPr>
          <w:rFonts w:hint="eastAsia" w:ascii="仿宋_GB2312" w:hAnsi="仿宋_GB2312" w:eastAsia="仿宋_GB2312" w:cs="仿宋_GB2312"/>
          <w:i w:val="0"/>
          <w:caps w:val="0"/>
          <w:color w:val="000000"/>
          <w:spacing w:val="0"/>
          <w:kern w:val="0"/>
          <w:sz w:val="32"/>
          <w:szCs w:val="32"/>
          <w:lang w:val="en-US" w:eastAsia="zh-CN" w:bidi="ar"/>
        </w:rPr>
        <w:t>开展文物保护区域评估工作，应当严格执行《中华人民共和国文物保护法》《中华人民共和国文物保护实施条例》《国务院关于进一步加强文物工作的指导意见》《国家文物局关于加强基本建设工程中考古工作的指导意见》《辽宁省文物局关于进一步科学规范基本建设考古工作的通知》《辽宁省文物保护区域评估工作指南》等有关法律法规和规定。</w:t>
      </w:r>
    </w:p>
    <w:p>
      <w:pPr>
        <w:keepNext w:val="0"/>
        <w:keepLines w:val="0"/>
        <w:widowControl/>
        <w:suppressLineNumbers w:val="0"/>
        <w:spacing w:before="0" w:beforeAutospacing="0" w:after="0" w:afterAutospacing="0"/>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文物保护区域评估工作按照开发区申报，市文物行政部门初审，资质单位考古调查和勘探、编制评估报告、申报，省文物行政部门审批的工作流程进行办理。</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CESI黑体-GB2312" w:hAnsi="CESI黑体-GB2312" w:eastAsia="CESI黑体-GB2312" w:cs="CESI黑体-GB2312"/>
          <w:i w:val="0"/>
          <w:caps w:val="0"/>
          <w:color w:val="000000"/>
          <w:spacing w:val="0"/>
          <w:kern w:val="0"/>
          <w:sz w:val="32"/>
          <w:szCs w:val="32"/>
          <w:lang w:val="en-US" w:eastAsia="zh-CN" w:bidi="ar"/>
        </w:rPr>
        <w:t>　　</w:t>
      </w:r>
      <w:r>
        <w:rPr>
          <w:rFonts w:hint="eastAsia" w:ascii="黑体" w:hAnsi="黑体" w:eastAsia="黑体" w:cs="黑体"/>
          <w:i w:val="0"/>
          <w:caps w:val="0"/>
          <w:color w:val="000000"/>
          <w:spacing w:val="0"/>
          <w:kern w:val="0"/>
          <w:sz w:val="32"/>
          <w:szCs w:val="32"/>
          <w:lang w:val="en-US" w:eastAsia="zh-CN" w:bidi="ar"/>
        </w:rPr>
        <w:t>三、考古调查、勘探及区域评估报告编制的资质要求</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kern w:val="0"/>
          <w:sz w:val="32"/>
          <w:szCs w:val="32"/>
          <w:lang w:val="en-US" w:eastAsia="zh-CN" w:bidi="ar"/>
        </w:rPr>
        <w:t>　　</w:t>
      </w:r>
      <w:r>
        <w:rPr>
          <w:rFonts w:hint="eastAsia" w:ascii="仿宋_GB2312" w:hAnsi="仿宋_GB2312" w:eastAsia="仿宋_GB2312" w:cs="仿宋_GB2312"/>
          <w:i w:val="0"/>
          <w:caps w:val="0"/>
          <w:color w:val="000000"/>
          <w:spacing w:val="0"/>
          <w:kern w:val="0"/>
          <w:sz w:val="32"/>
          <w:szCs w:val="32"/>
          <w:lang w:val="en-US" w:eastAsia="zh-CN" w:bidi="ar"/>
        </w:rPr>
        <w:t>承担考古调查、勘探及区域评估报告编制任务的单位，应当为省内具有国家文物局颁发的考古发掘团队领队资格及国家文物局核发的考古发掘资质证书的单位。</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CESI黑体-GB2312" w:hAnsi="CESI黑体-GB2312" w:eastAsia="CESI黑体-GB2312" w:cs="CESI黑体-GB2312"/>
          <w:i w:val="0"/>
          <w:caps w:val="0"/>
          <w:color w:val="000000"/>
          <w:spacing w:val="0"/>
          <w:kern w:val="0"/>
          <w:sz w:val="32"/>
          <w:szCs w:val="32"/>
          <w:lang w:val="en-US" w:eastAsia="zh-CN" w:bidi="ar"/>
        </w:rPr>
        <w:t>　　</w:t>
      </w:r>
      <w:r>
        <w:rPr>
          <w:rFonts w:hint="eastAsia" w:ascii="黑体" w:hAnsi="黑体" w:eastAsia="黑体" w:cs="黑体"/>
          <w:i w:val="0"/>
          <w:caps w:val="0"/>
          <w:color w:val="000000"/>
          <w:spacing w:val="0"/>
          <w:kern w:val="0"/>
          <w:sz w:val="32"/>
          <w:szCs w:val="32"/>
          <w:lang w:val="en-US" w:eastAsia="zh-CN" w:bidi="ar"/>
        </w:rPr>
        <w:t>四、文物行政部门工作职责</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　　</w:t>
      </w:r>
      <w:r>
        <w:rPr>
          <w:rFonts w:hint="eastAsia" w:ascii="仿宋_GB2312" w:hAnsi="仿宋_GB2312" w:eastAsia="仿宋_GB2312" w:cs="仿宋_GB2312"/>
          <w:i w:val="0"/>
          <w:caps w:val="0"/>
          <w:color w:val="000000"/>
          <w:spacing w:val="0"/>
          <w:kern w:val="0"/>
          <w:sz w:val="32"/>
          <w:szCs w:val="32"/>
          <w:lang w:val="en-US" w:eastAsia="zh-CN" w:bidi="ar"/>
        </w:rPr>
        <w:t>市文物行政部门负责统筹协调推进全市文物保护区域评估工作，指导各县区文物行政部门落实文物保护区域评估有关规定，协助承担文物保护区域评估工作的资质单位做好实地考古调查、勘探和评估工作，组织开展文物保护区域评估实施方案报备等工作。</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CESI黑体-GB2312" w:hAnsi="CESI黑体-GB2312" w:eastAsia="CESI黑体-GB2312" w:cs="CESI黑体-GB2312"/>
          <w:i w:val="0"/>
          <w:caps w:val="0"/>
          <w:color w:val="000000"/>
          <w:spacing w:val="0"/>
          <w:kern w:val="0"/>
          <w:sz w:val="32"/>
          <w:szCs w:val="32"/>
          <w:lang w:val="en-US" w:eastAsia="zh-CN" w:bidi="ar"/>
        </w:rPr>
        <w:t>　　</w:t>
      </w:r>
      <w:r>
        <w:rPr>
          <w:rFonts w:hint="eastAsia" w:ascii="黑体" w:hAnsi="黑体" w:eastAsia="黑体" w:cs="黑体"/>
          <w:i w:val="0"/>
          <w:caps w:val="0"/>
          <w:color w:val="000000"/>
          <w:spacing w:val="0"/>
          <w:kern w:val="0"/>
          <w:sz w:val="32"/>
          <w:szCs w:val="32"/>
          <w:lang w:val="en-US" w:eastAsia="zh-CN" w:bidi="ar"/>
        </w:rPr>
        <w:t>五、申报工作流程</w:t>
      </w:r>
    </w:p>
    <w:p>
      <w:pPr>
        <w:keepNext w:val="0"/>
        <w:keepLines w:val="0"/>
        <w:widowControl/>
        <w:suppressLineNumbers w:val="0"/>
        <w:spacing w:before="0" w:beforeAutospacing="0" w:after="0" w:afterAutospacing="0" w:line="580" w:lineRule="atLeast"/>
        <w:ind w:left="0" w:right="0" w:firstLine="0"/>
        <w:jc w:val="both"/>
        <w:rPr>
          <w:rFonts w:hint="eastAsia" w:ascii="仿宋_GB2312" w:hAnsi="仿宋_GB2312" w:eastAsia="仿宋_GB2312" w:cs="仿宋_GB2312"/>
          <w:i w:val="0"/>
          <w:caps w:val="0"/>
          <w:color w:val="000000"/>
          <w:spacing w:val="0"/>
          <w:kern w:val="0"/>
          <w:sz w:val="32"/>
          <w:szCs w:val="32"/>
          <w:lang w:val="en-US" w:eastAsia="zh-CN" w:bidi="ar"/>
        </w:rPr>
      </w:pPr>
      <w:r>
        <w:rPr>
          <w:rFonts w:hint="default" w:ascii="Noto Music" w:hAnsi="Noto Music" w:eastAsia="Noto Music" w:cs="Noto Music"/>
          <w:i w:val="0"/>
          <w:caps w:val="0"/>
          <w:color w:val="000000"/>
          <w:spacing w:val="0"/>
          <w:kern w:val="0"/>
          <w:sz w:val="32"/>
          <w:szCs w:val="32"/>
          <w:lang w:val="en-US" w:eastAsia="zh-CN" w:bidi="ar"/>
        </w:rPr>
        <w:t>　　</w:t>
      </w:r>
      <w:r>
        <w:rPr>
          <w:rFonts w:hint="eastAsia" w:ascii="仿宋_GB2312" w:hAnsi="仿宋_GB2312" w:eastAsia="仿宋_GB2312" w:cs="仿宋_GB2312"/>
          <w:i w:val="0"/>
          <w:caps w:val="0"/>
          <w:color w:val="000000"/>
          <w:spacing w:val="0"/>
          <w:kern w:val="0"/>
          <w:sz w:val="32"/>
          <w:szCs w:val="32"/>
          <w:lang w:val="en-US" w:eastAsia="zh-CN" w:bidi="ar"/>
        </w:rPr>
        <w:t>（一）申报。材料清单：</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default" w:ascii="仿宋_GB2312" w:hAnsi="仿宋_GB2312" w:eastAsia="仿宋_GB2312" w:cs="仿宋_GB2312"/>
          <w:i w:val="0"/>
          <w:caps w:val="0"/>
          <w:color w:val="000000"/>
          <w:spacing w:val="0"/>
          <w:kern w:val="0"/>
          <w:sz w:val="32"/>
          <w:szCs w:val="32"/>
          <w:lang w:val="en-US" w:eastAsia="zh-CN" w:bidi="ar"/>
        </w:rPr>
        <w:t>　　1.</w:t>
      </w:r>
      <w:r>
        <w:rPr>
          <w:rFonts w:hint="eastAsia" w:ascii="仿宋_GB2312" w:hAnsi="仿宋_GB2312" w:eastAsia="仿宋_GB2312" w:cs="仿宋_GB2312"/>
          <w:i w:val="0"/>
          <w:caps w:val="0"/>
          <w:color w:val="000000"/>
          <w:spacing w:val="0"/>
          <w:kern w:val="0"/>
          <w:sz w:val="32"/>
          <w:szCs w:val="32"/>
          <w:lang w:val="en-US" w:eastAsia="zh-CN" w:bidi="ar"/>
        </w:rPr>
        <w:t>开发区关于开展文物保护区域评估的申报文件；</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default" w:ascii="仿宋_GB2312" w:hAnsi="仿宋_GB2312" w:eastAsia="仿宋_GB2312" w:cs="仿宋_GB2312"/>
          <w:i w:val="0"/>
          <w:caps w:val="0"/>
          <w:color w:val="000000"/>
          <w:spacing w:val="0"/>
          <w:kern w:val="0"/>
          <w:sz w:val="32"/>
          <w:szCs w:val="32"/>
          <w:lang w:val="en-US" w:eastAsia="zh-CN" w:bidi="ar"/>
        </w:rPr>
        <w:t>　　2.</w:t>
      </w:r>
      <w:r>
        <w:rPr>
          <w:rFonts w:hint="eastAsia" w:ascii="仿宋_GB2312" w:hAnsi="仿宋_GB2312" w:eastAsia="仿宋_GB2312" w:cs="仿宋_GB2312"/>
          <w:i w:val="0"/>
          <w:caps w:val="0"/>
          <w:color w:val="000000"/>
          <w:spacing w:val="0"/>
          <w:kern w:val="0"/>
          <w:sz w:val="32"/>
          <w:szCs w:val="32"/>
          <w:lang w:val="en-US" w:eastAsia="zh-CN" w:bidi="ar"/>
        </w:rPr>
        <w:t>申报单位需提供经批准的相关规划；</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（二）受理。申请材料齐全、符合法定形式的，市文物行政部门受理。</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三）组织区域评估。受理申请后，市文物行政部门负责协调国家文物局核发考古发掘资质证书的单位开展文物保护区域评估工作。由各开发区管理机构及时与承担文物保护区域评估任务的考古发掘资质单位签订工作协议，为开展评估工作提供保障条件，落实区域内文物保护责任，文物保护区域评估的具体土地范围由开发区管理机构根据工作实际确定。市级文物行政管理部门配合提供文物保护单位的保护范围和建设控制地带等详细资料。</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四）出具评估报告。市级文物行政管理部门积极对接省级文物行政管理部门组织专家开展现场检查指导工作，检查内容包括：开发区区域评估实施情况、土地储备入库或划拨前文物资源评估开展情况和评估意见落实情况等。文物调查、勘探均由受委托的考古发掘资质单位负责，评估工作的实施应采取区域系统考古调查、重点区域开展普通勘探和重点勘探相结合的方式，摸清评估区域内地下文物的分布情况，评估地上不可移动文物的保护现状，由资质单位编制《文物保护区域评估报告》。</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五）备案或出具相关核准文件。考古发掘资质单位将《文物保护区域评估报告》报省文物行政部门审查，经审查后的《文物保护区域评估报告》方可作为文物行政部门出具基本建设用地行政许可意见的依据。各开发区将省文物行政部门审查后的《文物保护区域评估报告》报市文物行政部门进行备案或出具相关核准文件。</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（六）《文物保护区域评估报告》内容的组成。由评估依据、评估区域概况、工作方式、地下文物和地上文物分布、评估意见和保护措施，以及相关图纸、照片等内容组成。</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承诺审批办理时限。自受理之日起到《文物保护区域评估报告》备案或出具相关核准文件结束（不含考古发掘资质单位开展文物保护区域评估和省文物行政部门审查时限）</w:t>
      </w:r>
      <w:r>
        <w:rPr>
          <w:rFonts w:hint="default" w:ascii="仿宋_GB2312" w:hAnsi="仿宋_GB2312" w:eastAsia="仿宋_GB2312" w:cs="仿宋_GB2312"/>
          <w:i w:val="0"/>
          <w:caps w:val="0"/>
          <w:color w:val="000000"/>
          <w:spacing w:val="0"/>
          <w:kern w:val="0"/>
          <w:sz w:val="32"/>
          <w:szCs w:val="32"/>
          <w:lang w:val="en-US" w:eastAsia="zh-CN" w:bidi="ar"/>
        </w:rPr>
        <w:t>5</w:t>
      </w:r>
      <w:r>
        <w:rPr>
          <w:rFonts w:hint="eastAsia" w:ascii="仿宋_GB2312" w:hAnsi="仿宋_GB2312" w:eastAsia="仿宋_GB2312" w:cs="仿宋_GB2312"/>
          <w:i w:val="0"/>
          <w:caps w:val="0"/>
          <w:color w:val="000000"/>
          <w:spacing w:val="0"/>
          <w:kern w:val="0"/>
          <w:sz w:val="32"/>
          <w:szCs w:val="32"/>
          <w:lang w:val="en-US" w:eastAsia="zh-CN" w:bidi="ar"/>
        </w:rPr>
        <w:t>个工作日。</w:t>
      </w:r>
    </w:p>
    <w:p>
      <w:pPr>
        <w:keepNext w:val="0"/>
        <w:keepLines w:val="0"/>
        <w:widowControl/>
        <w:suppressLineNumbers w:val="0"/>
        <w:spacing w:before="0" w:beforeAutospacing="0" w:after="0" w:afterAutospacing="0" w:line="580" w:lineRule="atLeast"/>
        <w:ind w:left="0" w:right="0" w:firstLine="640"/>
        <w:jc w:val="both"/>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kern w:val="0"/>
          <w:sz w:val="32"/>
          <w:szCs w:val="32"/>
          <w:lang w:val="en-US" w:eastAsia="zh-CN" w:bidi="ar"/>
        </w:rPr>
        <w:t>六、文物保护区域评估范围内有下列情形的，列入文物保护区域评估事项审批负面清单（实行单独项目评估）</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　　</w:t>
      </w:r>
      <w:r>
        <w:rPr>
          <w:rFonts w:hint="eastAsia" w:ascii="仿宋_GB2312" w:hAnsi="仿宋_GB2312" w:eastAsia="仿宋_GB2312" w:cs="仿宋_GB2312"/>
          <w:i w:val="0"/>
          <w:caps w:val="0"/>
          <w:color w:val="000000"/>
          <w:spacing w:val="0"/>
          <w:kern w:val="0"/>
          <w:sz w:val="32"/>
          <w:szCs w:val="32"/>
          <w:lang w:val="en-US" w:eastAsia="zh-CN" w:bidi="ar"/>
        </w:rPr>
        <w:t>（一）各级文物保护单位及其保护范围或建设控制地带内；</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（二）县级以上人民政府已经公布的文物埋藏区内或文物行政部门会同自然资源部门划定的文物埋藏区内；</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（三）县级以上文物行政主管部门已经公布的文物保护单位，以及第三次全国文物普查备案的遗址点；</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（四）《文物保护区域评估报告》明确的有文物区块；</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（五）其他法律法规认定的有文物分布的区块。</w:t>
      </w:r>
    </w:p>
    <w:p>
      <w:pPr>
        <w:keepNext w:val="0"/>
        <w:keepLines w:val="0"/>
        <w:widowControl/>
        <w:suppressLineNumbers w:val="0"/>
        <w:spacing w:before="0" w:beforeAutospacing="0" w:after="0" w:afterAutospacing="0" w:line="580" w:lineRule="atLeast"/>
        <w:ind w:left="0" w:right="0" w:firstLine="640"/>
        <w:jc w:val="both"/>
        <w:rPr>
          <w:rFonts w:hint="eastAsia" w:ascii="黑体" w:hAnsi="黑体" w:eastAsia="黑体" w:cs="黑体"/>
          <w:i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580" w:lineRule="atLeast"/>
        <w:ind w:left="0" w:right="0" w:firstLine="640"/>
        <w:jc w:val="both"/>
        <w:rPr>
          <w:rFonts w:hint="default"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七、文物保护区域评估工作经费</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由开发区管理机构依法纳入本部门（土地成本）预算，由同级财政部门审核保障。</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仿宋_GB2312" w:hAnsi="仿宋_GB2312" w:eastAsia="仿宋_GB2312" w:cs="仿宋_GB2312"/>
          <w:i w:val="0"/>
          <w:caps w:val="0"/>
          <w:color w:val="000000"/>
          <w:spacing w:val="0"/>
          <w:kern w:val="0"/>
          <w:sz w:val="32"/>
          <w:szCs w:val="32"/>
          <w:lang w:val="en-US" w:eastAsia="zh-CN" w:bidi="ar"/>
        </w:rPr>
        <w:t>　　考古调查、勘探和发掘所需费用，按照现有相关规定收取。</w:t>
      </w:r>
    </w:p>
    <w:p>
      <w:pPr>
        <w:keepNext w:val="0"/>
        <w:keepLines w:val="0"/>
        <w:widowControl/>
        <w:suppressLineNumbers w:val="0"/>
        <w:spacing w:before="0" w:beforeAutospacing="0" w:after="0" w:afterAutospacing="0" w:line="580" w:lineRule="atLeast"/>
        <w:ind w:left="0" w:right="0" w:firstLine="0"/>
        <w:jc w:val="both"/>
        <w:rPr>
          <w:rFonts w:hint="default" w:ascii="Calibri" w:hAnsi="Calibri" w:cs="Calibri"/>
          <w:i w:val="0"/>
          <w:caps w:val="0"/>
          <w:color w:val="000000"/>
          <w:spacing w:val="0"/>
          <w:sz w:val="21"/>
          <w:szCs w:val="21"/>
        </w:rPr>
      </w:pPr>
      <w:r>
        <w:rPr>
          <w:rFonts w:hint="eastAsia" w:ascii="CESI黑体-GB2312" w:hAnsi="CESI黑体-GB2312" w:eastAsia="CESI黑体-GB2312" w:cs="CESI黑体-GB2312"/>
          <w:i w:val="0"/>
          <w:caps w:val="0"/>
          <w:color w:val="000000"/>
          <w:spacing w:val="0"/>
          <w:kern w:val="0"/>
          <w:sz w:val="32"/>
          <w:szCs w:val="32"/>
          <w:lang w:val="en-US" w:eastAsia="zh-CN" w:bidi="ar"/>
        </w:rPr>
        <w:t>　</w:t>
      </w:r>
      <w:r>
        <w:rPr>
          <w:rFonts w:hint="eastAsia" w:ascii="黑体" w:hAnsi="黑体" w:eastAsia="黑体" w:cs="黑体"/>
          <w:i w:val="0"/>
          <w:caps w:val="0"/>
          <w:color w:val="000000"/>
          <w:spacing w:val="0"/>
          <w:kern w:val="0"/>
          <w:sz w:val="32"/>
          <w:szCs w:val="32"/>
          <w:lang w:val="en-US" w:eastAsia="zh-CN" w:bidi="ar"/>
        </w:rPr>
        <w:t>　八、评估成果应用及有效期</w:t>
      </w:r>
    </w:p>
    <w:p>
      <w:pPr>
        <w:keepNext w:val="0"/>
        <w:keepLines w:val="0"/>
        <w:widowControl/>
        <w:suppressLineNumbers w:val="0"/>
        <w:spacing w:before="0" w:beforeAutospacing="0" w:after="0" w:afterAutospacing="0" w:line="580" w:lineRule="atLeast"/>
        <w:ind w:left="0" w:right="0" w:firstLine="0"/>
        <w:jc w:val="both"/>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经省文物行政部门审查批准的《文物保护区域评估报告》或文物行政部门出具的相关核准文件，应当提供给入驻该评估区域的建设项目共享使用，单个建设项目不再开展文物考古调查、勘探等工作。区域评估成果应作为区域内建设项目规划设计的依据。如无重大变故，文物保护区域评估成果长期有效。</w:t>
      </w:r>
    </w:p>
    <w:p>
      <w:pPr>
        <w:keepNext w:val="0"/>
        <w:keepLines w:val="0"/>
        <w:widowControl/>
        <w:suppressLineNumbers w:val="0"/>
        <w:spacing w:before="0" w:beforeAutospacing="0" w:after="0" w:afterAutospacing="0" w:line="580" w:lineRule="atLeast"/>
        <w:ind w:left="0" w:right="0" w:firstLine="0"/>
        <w:jc w:val="both"/>
        <w:rPr>
          <w:rFonts w:hint="default"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　　九、本规程由市文化旅游和广播电视局负责解释，于公布之日起施行。</w:t>
      </w:r>
    </w:p>
    <w:p/>
    <w:sectPr>
      <w:headerReference r:id="rId3" w:type="default"/>
      <w:footerReference r:id="rId4" w:type="default"/>
      <w:pgSz w:w="11906" w:h="16838"/>
      <w:pgMar w:top="1962" w:right="1474" w:bottom="1848" w:left="1587" w:header="850"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Music">
    <w:altName w:val="Yu Gothic UI"/>
    <w:panose1 w:val="020B0502040504020204"/>
    <w:charset w:val="00"/>
    <w:family w:val="auto"/>
    <w:pitch w:val="default"/>
    <w:sig w:usb0="00000000" w:usb1="00000000" w:usb2="01000000" w:usb3="00000000" w:csb0="00000001"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sans-serif">
    <w:altName w:val="仿宋"/>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066"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阜新市文化旅游和广播电视局发布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阜新市文化旅游和广播电视局规范性文件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6B1C3D89"/>
    <w:rsid w:val="318908D6"/>
    <w:rsid w:val="48F86243"/>
    <w:rsid w:val="6B1C3D89"/>
    <w:rsid w:val="7C96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2149</Words>
  <Characters>2162</Characters>
  <Lines>0</Lines>
  <Paragraphs>0</Paragraphs>
  <TotalTime>10</TotalTime>
  <ScaleCrop>false</ScaleCrop>
  <LinksUpToDate>false</LinksUpToDate>
  <CharactersWithSpaces>2252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2022-01-28T15:00:00Z</dcterms:created>
  <dc:creator>A羊娃娃</dc:creator>
  <cp:lastModifiedBy>A羊娃娃</cp:lastModifiedBy>
  <dcterms:modified xsi:type="dcterms:W3CDTF">2023-04-18T01:32:18Z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6B5FD62774CC430FA43F13460B824B29_13</vt:lpwstr>
  </property>
</Properties>
</file>